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391109" cy="75258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752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CLUB ALPINO ITALIANO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Sezione/Sottosezione di ……………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Indirizzo ……………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4818"/>
        <w:gridCol w:w="2159"/>
        <w:tblGridChange w:id="0">
          <w:tblGrid>
            <w:gridCol w:w="2801"/>
            <w:gridCol w:w="4818"/>
            <w:gridCol w:w="215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right="-6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TITOLO DEL PROGETTO DI MONTAGNATERAPIA</w:t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ind w:right="-62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PREMESSA CON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OBIETTIVI GENERALI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both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Descrizione sintetica: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OBIETTIVI SPECIFICI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Descrivere gli obiettivi specifici che la sezione si prefigge di raggiungere con l’iniziativa proposta.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497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Essi devono essere formulati attentamente e realisticamente, senza sovrastimare o sottostimare le possibilità del progetto, in modo da risultare raggiungibili e valutabili.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Gli obiettivi ai quali risponde l’organizzazione del progetto sono: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entury" w:cs="Century" w:eastAsia="Century" w:hAnsi="Century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ATTIVITA’ PREVISTE E MODALITA’ DI REALIZZAZIONE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È importante che la descrizione sia sintetica, ma al tempo stesso illustri bene come si intende realizzare l’iniziativa, elencando le attività previste, anche in riferimento ad una scaletta temporale di massima.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ELENCO E DESCRIZIONE ATTIVITA’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Il target cui è destinata l’attività di Montagnaterapia.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Es.: in scuole, in ASL, in associazioni, cittadinanza, realtà in cui si vuole promuovere l’inclusione sociale.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Destinatari del progetto: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PARTNER del progetto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Specificare quali partner sono coinvolti se previsti. 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Specificare come i partner contribuiscono alla realizzazione del progetto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Il progetto sarà realizzato in collaborazione con: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RISORSE UMANE COINVOLTE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(anche esterne al CAI)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Numero orientativo di soci e/o volontari esterni coinvolti nel progetto. Indicare eventuali figure professionali impiegate per la qualificazione del progetto. 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Saranno coinvolti nel progetto: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TEMPI INDICATIVI DI REALIZZAZIONE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Cronoprogramma delle attività del progetto riuscita dell’iniziativa.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L’organizzazione complessiva del progetto prevede le attività ripartite orientativamente nel seguente modo:</w:t>
            </w:r>
          </w:p>
          <w:tbl>
            <w:tblPr>
              <w:tblStyle w:val="Table2"/>
              <w:tblW w:w="675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20"/>
              <w:gridCol w:w="1431"/>
              <w:tblGridChange w:id="0">
                <w:tblGrid>
                  <w:gridCol w:w="5320"/>
                  <w:gridCol w:w="143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5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Attività del progetto</w:t>
                    <w:tab/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Mese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1.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Febbraio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2.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Marzo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B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3.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etc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D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4.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etc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F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Etc.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etc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1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3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spacing w:after="0" w:line="240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color w:val="000000"/>
                      <w:sz w:val="24"/>
                      <w:szCs w:val="24"/>
                      <w:rtl w:val="0"/>
                    </w:rPr>
                    <w:t xml:space="preserve">Dicembre</w:t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COSTI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ndicare il costo complessivo di tutto il progetto, specificando le diverse voci che interverranno, anche e soprattutto in relazione alle spese ammesse a rimborso, nonché ogni altra ulteriore spesa già preventivata.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REFERENTE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Nome Cognome: 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bookmarkStart w:colFirst="0" w:colLast="0" w:name="_heading=h.cil1apntoes9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Sezione/Sottosezione CAI di: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Timbro Sezione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…………...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lì 00/00/2026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        Firma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………………………………………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widowControl w:val="0"/>
        <w:spacing w:after="0" w:line="240" w:lineRule="auto"/>
        <w:ind w:left="0" w:hanging="1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line="240" w:lineRule="auto"/>
        <w:ind w:left="0" w:hanging="1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line="240" w:lineRule="auto"/>
        <w:ind w:left="0" w:hanging="1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ind w:left="0" w:hanging="1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ind w:left="0" w:hanging="1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*Da trasformare in PDF e sottoscrivere con firma digitale oppure con firma autografa leggibile e per esteso. Nel secondo caso si ricorda di allegare fotocopia del documento d’identità, in corso di validità, relativa al sottoscrittore.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2"/>
          <w:szCs w:val="12"/>
          <w:rtl w:val="0"/>
        </w:rPr>
        <w:t xml:space="preserve">Art. 76 del DPR. 445 del 28/12/2000</w:t>
      </w:r>
      <w:r w:rsidDel="00000000" w:rsidR="00000000" w:rsidRPr="00000000">
        <w:rPr>
          <w:rFonts w:ascii="Arial" w:cs="Arial" w:eastAsia="Arial" w:hAnsi="Arial"/>
          <w:color w:val="000000"/>
          <w:sz w:val="12"/>
          <w:szCs w:val="1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Liberation San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FF61FB"/>
    <w:rPr>
      <w:rFonts w:ascii="Tahoma" w:cs="Tahoma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A91379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A91379"/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FF61FB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C26F32"/>
    <w:pPr>
      <w:ind w:left="720"/>
      <w:contextualSpacing w:val="1"/>
    </w:p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 w:val="1"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KhpUuRf9RD0jRHsEER4kTbQpg==">CgMxLjAyDmguY2lsMWFwbnRvZXM5OAByITFyamdETl9sM3d0M3ZIb24yR2p0aEZXUW50X20xWUJORA==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2026-01-27T11:37:00Z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